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78" w:lineRule="atLeast"/>
        <w:ind w:left="0" w:right="0"/>
        <w:rPr>
          <w:rFonts w:hint="eastAsia" w:ascii="楷体" w:hAnsi="楷体" w:eastAsia="楷体" w:cs="楷体"/>
          <w:color w:val="777777"/>
          <w:sz w:val="30"/>
          <w:szCs w:val="30"/>
          <w:lang w:val="en-US" w:eastAsia="zh-CN"/>
        </w:rPr>
      </w:pPr>
      <w:r>
        <w:rPr>
          <w:rFonts w:hint="eastAsia" w:ascii="楷体" w:hAnsi="楷体" w:eastAsia="楷体" w:cs="楷体"/>
          <w:color w:val="222222"/>
          <w:spacing w:val="8"/>
          <w:sz w:val="30"/>
          <w:szCs w:val="30"/>
          <w:shd w:val="clear" w:fill="FFFFFF"/>
        </w:rPr>
        <w:t>7月21日，国家卫健委、国家发改委、民政部、住建部、财政部等十一个部门联合发布</w:t>
      </w:r>
      <w:r>
        <w:rPr>
          <w:rFonts w:hint="eastAsia" w:ascii="楷体" w:hAnsi="楷体" w:eastAsia="楷体" w:cs="楷体"/>
          <w:color w:val="222222"/>
          <w:spacing w:val="8"/>
          <w:sz w:val="30"/>
          <w:szCs w:val="30"/>
          <w:shd w:val="clear" w:fill="FFFFFF"/>
        </w:rPr>
        <w:t>《关于进一步推进医养结合发展的指导意见》，提出发展居家社区医养结合服务、推动机构深入开展医养结合服务、优化服务衔接、完善支持政策、多渠道引才育才和强化服务管理六方面意见。</w:t>
      </w:r>
      <w:r>
        <w:rPr>
          <w:rFonts w:hint="eastAsia" w:ascii="楷体" w:hAnsi="楷体" w:eastAsia="楷体" w:cs="楷体"/>
          <w:color w:val="222222"/>
          <w:spacing w:val="8"/>
          <w:sz w:val="30"/>
          <w:szCs w:val="30"/>
          <w:shd w:val="clear" w:fill="FFFFFF"/>
          <w:lang w:eastAsia="zh-CN"/>
        </w:rPr>
        <w:t>全文内</w:t>
      </w:r>
      <w:bookmarkStart w:id="0" w:name="_GoBack"/>
      <w:bookmarkEnd w:id="0"/>
      <w:r>
        <w:rPr>
          <w:rFonts w:hint="eastAsia" w:ascii="楷体" w:hAnsi="楷体" w:eastAsia="楷体" w:cs="楷体"/>
          <w:color w:val="222222"/>
          <w:spacing w:val="8"/>
          <w:sz w:val="30"/>
          <w:szCs w:val="30"/>
          <w:shd w:val="clear" w:fill="FFFFFF"/>
          <w:lang w:eastAsia="zh-CN"/>
        </w:rPr>
        <w:t>容如下（来源于国家</w:t>
      </w:r>
      <w:r>
        <w:rPr>
          <w:rFonts w:hint="eastAsia" w:ascii="楷体" w:hAnsi="楷体" w:eastAsia="楷体" w:cs="楷体"/>
          <w:color w:val="222222"/>
          <w:spacing w:val="8"/>
          <w:sz w:val="30"/>
          <w:szCs w:val="30"/>
          <w:shd w:val="clear" w:fill="FFFFFF"/>
          <w:lang w:val="en-US" w:eastAsia="zh-CN"/>
        </w:rPr>
        <w:t>卫生健康委网站</w:t>
      </w:r>
      <w:r>
        <w:rPr>
          <w:rFonts w:hint="eastAsia" w:ascii="楷体" w:hAnsi="楷体" w:eastAsia="楷体" w:cs="楷体"/>
          <w:color w:val="222222"/>
          <w:spacing w:val="8"/>
          <w:sz w:val="30"/>
          <w:szCs w:val="30"/>
          <w:shd w:val="clear" w:fill="FFFFFF"/>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420" w:lineRule="atLeast"/>
        <w:ind w:left="240" w:right="240"/>
        <w:jc w:val="both"/>
        <w:rPr>
          <w:rFonts w:hint="eastAsia" w:ascii="微软雅黑" w:hAnsi="微软雅黑" w:eastAsia="微软雅黑" w:cs="微软雅黑"/>
          <w:color w:val="222222"/>
          <w:spacing w:val="8"/>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eastAsia" w:ascii="宋体" w:hAnsi="宋体" w:eastAsia="宋体" w:cs="宋体"/>
          <w:i w:val="0"/>
          <w:iCs w:val="0"/>
          <w:caps w:val="0"/>
          <w:color w:val="333333"/>
          <w:spacing w:val="0"/>
          <w:sz w:val="32"/>
          <w:szCs w:val="32"/>
        </w:rPr>
      </w:pPr>
      <w:r>
        <w:rPr>
          <w:rFonts w:hint="eastAsia" w:ascii="宋体" w:hAnsi="宋体" w:eastAsia="宋体" w:cs="宋体"/>
          <w:b/>
          <w:bCs/>
          <w:i w:val="0"/>
          <w:iCs w:val="0"/>
          <w:caps w:val="0"/>
          <w:color w:val="333333"/>
          <w:spacing w:val="0"/>
          <w:sz w:val="44"/>
          <w:szCs w:val="44"/>
          <w:bdr w:val="none" w:color="auto" w:sz="0" w:space="0"/>
          <w:shd w:val="clear" w:fill="FFFFFF"/>
        </w:rPr>
        <w:t>关于进一步推进医养结合发展的指导意见</w:t>
      </w:r>
      <w:r>
        <w:rPr>
          <w:rFonts w:hint="eastAsia" w:ascii="宋体" w:hAnsi="宋体" w:eastAsia="宋体" w:cs="宋体"/>
          <w:i w:val="0"/>
          <w:iCs w:val="0"/>
          <w:caps w:val="0"/>
          <w:color w:val="333333"/>
          <w:spacing w:val="0"/>
          <w:sz w:val="44"/>
          <w:szCs w:val="44"/>
          <w:bdr w:val="none" w:color="auto" w:sz="0" w:space="0"/>
          <w:shd w:val="clear" w:fill="FFFFFF"/>
        </w:rPr>
        <w:br w:type="textWrapping"/>
      </w:r>
      <w:r>
        <w:rPr>
          <w:rFonts w:ascii="楷体" w:hAnsi="楷体" w:eastAsia="楷体" w:cs="楷体"/>
          <w:i w:val="0"/>
          <w:iCs w:val="0"/>
          <w:caps w:val="0"/>
          <w:color w:val="333333"/>
          <w:spacing w:val="0"/>
          <w:sz w:val="32"/>
          <w:szCs w:val="32"/>
          <w:bdr w:val="none" w:color="auto" w:sz="0" w:space="0"/>
          <w:shd w:val="clear" w:fill="FFFFFF"/>
        </w:rPr>
        <w:t>国卫老龄发〔2022〕25号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各省、自治区、直辖市人民政府，国务院各部委、各直属机构：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推进医养结合是优化老年健康和养老服务供给的重要举措，是积极应对人口老龄化、增强老年人获得感和满意度的重要途径。近年来，医养结合政策不断完善，取得积极进展，但在政策支持、服务能力、人才建设等方面仍存在一些难点堵点问题。各地各相关部门要坚持以习近平新时代中国特色社会主义思想为指导，认真贯彻落实党中央、国务院决策部署，进一步完善政策措施，着力破解难点堵点问题，促进医养结合发展，不断满足老年人健康和养老服务需求。经国务院同意，现提出以下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b/>
          <w:bCs/>
          <w:i w:val="0"/>
          <w:iCs w:val="0"/>
          <w:caps w:val="0"/>
          <w:color w:val="333333"/>
          <w:spacing w:val="0"/>
          <w:sz w:val="32"/>
          <w:szCs w:val="32"/>
          <w:bdr w:val="none" w:color="auto" w:sz="0" w:space="0"/>
          <w:shd w:val="clear" w:fill="FFFFFF"/>
        </w:rPr>
        <w:t>一、发展居家社区医养结合服务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一）积极提供居家医疗服务。各地要结合实际建立完善居家医疗服务规范、技术指南和工作流程，明确相关政策，支持有条件的医疗卫生机构为居家失能（含失智，下同）、慢性病、高龄、残疾等行动不便或确有困难的老年人提供家庭病床、上门巡诊等居家医疗服务。推进“互联网+医疗健康”、“互联网+护理服务”，创新方式为有需求的老年人提供便利的居家医疗服务。（国家卫生健康委、工业和信息化部、国家中医药局、国家疾控局等按职责分工负责，地方各级人民政府负责落实。以下均需地方各级人民政府落实，不再列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二）增强社区医养结合服务能力。实施社区医养结合能力提升行动，有条件的社区卫生服务机构、乡镇卫生院或社区养老服务机构、特困人员供养服务机构（敬老院）利用现有资源，内部改扩建一批社区（乡镇）医养结合服务设施，重点为失能、慢性病、高龄、残疾等行动不便或确有困难的老年人提供医养结合服务。扎实做好基本公共卫生服务，积极推进老年健康与医养结合服务项目实施，加强老年病预防和早期干预。发挥中医药和中西医结合在养生保健、慢性病防治等方面的优势，推动中医药进家庭、进社区、进机构。有条件的地方可按照知情、同意、自愿的原则，为老年人免费接种流感、肺炎等疫苗。在做实老年人家庭医生签约服务的基础上，稳步提高失能、慢性病、高龄、残疾等行动不便或确有困难的老年人家庭医生签约服务覆盖率。（国家卫生健康委、国家发展改革委、民政部、财政部、自然资源部、住房城乡建设部、国家中医药局、国家疾控局、中国残联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b/>
          <w:bCs/>
          <w:i w:val="0"/>
          <w:iCs w:val="0"/>
          <w:caps w:val="0"/>
          <w:color w:val="333333"/>
          <w:spacing w:val="0"/>
          <w:sz w:val="32"/>
          <w:szCs w:val="32"/>
          <w:bdr w:val="none" w:color="auto" w:sz="0" w:space="0"/>
          <w:shd w:val="clear" w:fill="FFFFFF"/>
        </w:rPr>
        <w:t>二、推动机构深入开展医养结合服务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三）支持医疗卫生机构开展医养结合服务。鼓励医疗卫生机构依法依规在养老服务机构设立医疗服务站点，提供嵌入式医疗卫生服务。推动医疗卫生机构将上门医疗服务向养老机构拓展，为符合条件的入住养老机构的老年人提供家庭病床、上门巡诊等服务。各地要优化医疗资源布局，通过新建、改扩建、转型发展等方式，加强康复医院、护理院（中心、站）和安宁疗护机构建设，支持老年医学科和安宁疗护科发展，支持医疗资源丰富地区的二级及以下医疗卫生机构转型，开展康复、护理以及医养结合服务。推动建设老年友善医疗卫生机构，方便老年人看病就医。公立医疗卫生机构开展居家医疗服务、医养结合签约服务，以及医疗资源富余的二级及以下公立医疗卫生机构利用现有床位开展养老服务，要严格执行相关规范，收入纳入医疗卫生机构收入统一管理。（国家卫生健康委、国家发展改革委、民政部、国家中医药局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四）提升养老机构医养结合服务能力。各地要在摸清失能等老年人底数的基础上，结合入住需求和意愿，采取差异化补助等多种措施，推动养老机构改造增加护理型床位和设施，支持社会力量建设专业化、规模化、医养结合能力突出的养老机构，主要接收需要长期照护的失能老年人。各地要指导支持养老机构、医疗卫生机构开展签约合作，为养老机构提供预约就诊绿色通道、上门巡诊等服务，做实合作机制和内容，提高医养结合签约服务质量。鼓励大型或主要接收失能老年人的养老机构内部设置医疗卫生机构，支持内设医疗卫生机构加强能力建设，提升诊疗服务质量。（民政部、国家发展改革委、国家卫生健康委、国家中医药局、国家疾控局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b/>
          <w:bCs/>
          <w:i w:val="0"/>
          <w:iCs w:val="0"/>
          <w:caps w:val="0"/>
          <w:color w:val="333333"/>
          <w:spacing w:val="0"/>
          <w:sz w:val="32"/>
          <w:szCs w:val="32"/>
          <w:bdr w:val="none" w:color="auto" w:sz="0" w:space="0"/>
          <w:shd w:val="clear" w:fill="FFFFFF"/>
        </w:rPr>
        <w:t>三、优化服务衔接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五）加强医疗养老资源共享。各地要推动社区医疗卫生、养老服务、扶残助残等公共服务设施统筹布局、资源共享。推进社区卫生服务机构与社区养老服务机构、社区康复站，乡镇卫生院与特困人员供养服务机构（敬老院），村卫生室与农村幸福院、残疾人照护机构统筹规划、毗邻建设，采取多种有效方式，实现资源共享、服务衔接。将养老机构内设的医疗卫生机构纳入医疗联合体管理，与医疗联合体内的牵头医院、康复医院、护理院（中心、站）等建立双向转诊机制，提供一体化、连续性服务，实现医疗、康复、护理、养老服务资源的高效协同。鼓励基层积极探索相关机构养老床位和医疗床位按需规范转换机制。（国家发展改革委、民政部、自然资源部、住房城乡建设部、国家卫生健康委、国家医保局、国家中医药局、中国残联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六）积极发挥信息化作用。依托全民健康信息平台和“金民工程”，建设全国老龄健康信息管理系统、全国养老服务信息系统，全面掌握老年人健康和养老状况，分级分类开展相关服务。实施智慧健康养老产业发展行动，发展健康管理类、养老监护类、康复辅助器具类、中医数字化智能产品及家庭服务机器人等产品，满足老年人健康和养老需求。（国家卫生健康委、工业和信息化部、民政部、国家中医药局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b/>
          <w:bCs/>
          <w:i w:val="0"/>
          <w:iCs w:val="0"/>
          <w:caps w:val="0"/>
          <w:color w:val="333333"/>
          <w:spacing w:val="0"/>
          <w:sz w:val="32"/>
          <w:szCs w:val="32"/>
          <w:bdr w:val="none" w:color="auto" w:sz="0" w:space="0"/>
          <w:shd w:val="clear" w:fill="FFFFFF"/>
        </w:rPr>
        <w:t>四、完善支持政策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七）完善价格政策。公立医疗卫生机构为老年人等人群提供上门医疗服务，采取“医药服务价格+上门服务费”的方式收费。提供的医疗服务、药品和医用耗材，适用本医疗卫生机构执行的医药价格政策。上门服务费可由公立医疗卫生机构综合考虑服务半径、人力成本、交通成本、供求关系等因素自主确定。已通过家庭医生签约、长期护理保险等提供经费保障的服务项目，不得重复收费。公立医疗卫生机构开展养老服务，收入单独核算或单列备查账管理，收费标准要综合考虑服务成本、供求关系、群众承受能力等因素，原则上由价格主管部门核定后执行，具备招标条件的，鼓励通过招标方式确定。（国家发展改革委、国家卫生健康委、民政部、市场监管总局、国家医保局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八）加大保险支持。及时将符合条件的养老机构内设医疗卫生机构纳入医保定点管理。根据医养结合特点，合理确定养老机构内设医疗卫生机构医保总额控制指标，探索对安宁疗护、医疗康复等需要长期住院治疗且日均费用较稳定的疾病实行按床日付费，鼓励有条件的地方向提供医养结合服务的定点医疗卫生机构预付部分医保资金。按程序将符合条件的治疗性医疗服务项目纳入医保支付范围，足额支付符合规定的基本医保费用。稳步推进长期护理保险制度试点，适应失能老年人基本护理保障需求。鼓励商业保险将老年人预防保健、健康管理、康复、护理等纳入保障范围。（国家医保局、国家卫生健康委、民政部、财政部、银保监会、国家中医药局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九）盘活土地资源。医疗卫生用地、社会福利用地可用于建设医养结合项目。允许盘活利用城镇现有空闲商业用房、厂房、校舍、办公用房、培训设施及其他设施提供医养结合服务，并适用过渡期政策，五年内继续按原用途和权利类型使用土地。完善土地支持政策，优先保障接收失能老年人的医养结合项目用地需求。允许和鼓励农村集体建设用地用于医养结合项目建设。（自然资源部、住房城乡建设部、农业农村部、国家发展改革委、国家卫生健康委、民政部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十）落实财税优惠。有条件的地方可通过相关产业投资基金支持医养结合发展。落实有关税收优惠政策，支持社会力量提供多层次、多样化医养结合服务。通过政府购买服务等方式，统一开展老年人能力综合评估，支持符合条件的医疗卫生机构为老年人提供基本公共卫生、家庭医生签约等服务，支持符合条件的养老机构为老年人提供基本养老、家庭养老床位签约等服务。（财政部、人民银行、税务总局、银保监会、国家卫生健康委、民政部、国家医保局、国家疾控局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b/>
          <w:bCs/>
          <w:i w:val="0"/>
          <w:iCs w:val="0"/>
          <w:caps w:val="0"/>
          <w:color w:val="333333"/>
          <w:spacing w:val="0"/>
          <w:sz w:val="32"/>
          <w:szCs w:val="32"/>
          <w:bdr w:val="none" w:color="auto" w:sz="0" w:space="0"/>
          <w:shd w:val="clear" w:fill="FFFFFF"/>
        </w:rPr>
        <w:t>五、多渠道引才育才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十一）加强人才培养培训。加快推进医疗卫生与养老服务紧缺人才培养，将老年医学、护理、康复、全科等医学人才，养老护理员、养老院院长、老年社会工作者等养老服务与管理人才纳入相关培养项目。鼓励普通高校、职业院校增设健康和养老相关专业和课程，扩大招生规模，适应行业需求。大力开展医养结合领域培训，发挥有关职业技能等级证书作用，进一步拓宽院校培养与机构培训相结合的人才培养培训路径。鼓励为相关院校教师实践和学生实习提供医养结合服务岗位。（教育部、人力资源社会保障部、国家卫生健康委、民政部、国家中医药局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十二）引导医务人员从事医养结合服务。基层卫生健康人才招聘、使用和培养等要向提供医养结合服务的医疗卫生机构倾斜。根据公立医疗卫生机构开展医养结合服务情况，合理核定绩效工资总量。公立医疗卫生机构在内部绩效分配时，对完成居家医疗服务、医养结合签约等服务较好的医务人员给予适当倾斜。支持医务人员特别是退休返聘且临床经验丰富的护士到提供医养结合服务的医疗卫生机构执业，以及到提供医养结合服务的养老服务机构开展服务。鼓励退休医务人员到提供医养结合服务的医疗卫生机构和养老服务机构开展志愿服务。（国家卫生健康委、人力资源社会保障部、教育部、财政部、民政部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十三）壮大失能照护服务队伍。通过开展应急救助和照护技能培训等方式，提高失能老年人家庭照护者的照护能力和水平。加强对以护理失能老年人为主的医疗护理员、养老护理员的培训。鼓励志愿服务人员为照护居家失能老年人的家属提供喘息服务。（人力资源社会保障部、国家卫生健康委、民政部、国家中医药局、应急部、共青团中央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b/>
          <w:bCs/>
          <w:i w:val="0"/>
          <w:iCs w:val="0"/>
          <w:caps w:val="0"/>
          <w:color w:val="333333"/>
          <w:spacing w:val="0"/>
          <w:sz w:val="32"/>
          <w:szCs w:val="32"/>
          <w:bdr w:val="none" w:color="auto" w:sz="0" w:space="0"/>
          <w:shd w:val="clear" w:fill="FFFFFF"/>
        </w:rPr>
        <w:t>六、强化服务监管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十四）加强行业监管。将医养结合服务纳入医疗卫生行业、养老服务行业综合监管和质量工作考核内容，将养老机构内设医疗卫生机构纳入医疗卫生机构“双随机、一公开”监督抽查范围，将医疗卫生机构开展养老服务纳入养老机构“双随机、一公开”监督抽查范围，引导相关机构持续优化医养结合服务。各相关部门要强化信息共享，健全各司其职、各负其责、相互配合、齐抓共管的协同监管机制，着力推动解决影响服务质量安全的突出问题。（国家卫生健康委、民政部、市场监管总局、国家疾控局等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十五）落实传染病防控和安全生产责任。养老机构内设医疗卫生机构要严格执行传染病防控和医疗机构感染防控各项要求，妥善安排对内和对外服务，坚决防范疾病传播。医疗卫生机构提供养老服务的场所要与医疗服务区域实行分区管理，做到物理隔离、独立设置。本地区发生重大传染病疫情期间，医疗卫生机构提供养老服务的场所要根据疫情形势配备专职医务人员及其他必要工作人员，非紧急必须情况不与医疗服务区域交叉使用设施设备、物资等，确需使用的，要严格落实防控措施。有关部门要加强监督指导，推动责任落实，坚决防范疫情风险。各地要督促提供医养结合服务的相关机构严格落实安全生产和消防安全主体责任，及时消除安全隐患，维护老年人生命安全和合法权益。严禁利用易燃可燃彩钢板材料搭建有人员活动的场所。对不具备安全生产和消防安全条件、存在重大安全隐患的，依法依规予以处理。（各相关部门按职责分工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各地区各有关部门要加强组织领导，将推进医养结合发展纳入经济社会发展规划和国民健康、医疗卫生服务体系、老龄事业发展和养老服务体系等相关规划。建立完善多部门协同推进机制，动员社会力量广泛参与，以养老服务为基础，以医疗卫生服务为支撑，推动医养有机衔接，完善和落实各项政策措施。国家卫生健康委会同民政部等部门加强对各地破除医养结合难点堵点问题的督促指导。加强政策培训和宣传引导，组织实施医养结合示范项目，及时总结推广典型经验，推动医养结合高质量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420"/>
        <w:jc w:val="right"/>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国家卫生健康委 国家发展改革委</w:t>
      </w:r>
      <w:r>
        <w:rPr>
          <w:rFonts w:hint="eastAsia" w:ascii="宋体" w:hAnsi="宋体" w:eastAsia="宋体" w:cs="宋体"/>
          <w:i w:val="0"/>
          <w:iCs w:val="0"/>
          <w:caps w:val="0"/>
          <w:color w:val="333333"/>
          <w:spacing w:val="0"/>
          <w:sz w:val="32"/>
          <w:szCs w:val="32"/>
          <w:bdr w:val="none" w:color="auto" w:sz="0" w:space="0"/>
          <w:shd w:val="clear" w:fill="FFFFFF"/>
        </w:rPr>
        <w:br w:type="textWrapping"/>
      </w:r>
      <w:r>
        <w:rPr>
          <w:rFonts w:hint="eastAsia" w:ascii="宋体" w:hAnsi="宋体" w:eastAsia="宋体" w:cs="宋体"/>
          <w:i w:val="0"/>
          <w:iCs w:val="0"/>
          <w:caps w:val="0"/>
          <w:color w:val="333333"/>
          <w:spacing w:val="0"/>
          <w:sz w:val="32"/>
          <w:szCs w:val="32"/>
          <w:bdr w:val="none" w:color="auto" w:sz="0" w:space="0"/>
          <w:shd w:val="clear" w:fill="FFFFFF"/>
        </w:rPr>
        <w:t>教育部 民政部</w:t>
      </w:r>
      <w:r>
        <w:rPr>
          <w:rFonts w:hint="eastAsia" w:ascii="宋体" w:hAnsi="宋体" w:eastAsia="宋体" w:cs="宋体"/>
          <w:i w:val="0"/>
          <w:iCs w:val="0"/>
          <w:caps w:val="0"/>
          <w:color w:val="333333"/>
          <w:spacing w:val="0"/>
          <w:sz w:val="32"/>
          <w:szCs w:val="32"/>
          <w:bdr w:val="none" w:color="auto" w:sz="0" w:space="0"/>
          <w:shd w:val="clear" w:fill="FFFFFF"/>
        </w:rPr>
        <w:br w:type="textWrapping"/>
      </w:r>
      <w:r>
        <w:rPr>
          <w:rFonts w:hint="eastAsia" w:ascii="宋体" w:hAnsi="宋体" w:eastAsia="宋体" w:cs="宋体"/>
          <w:i w:val="0"/>
          <w:iCs w:val="0"/>
          <w:caps w:val="0"/>
          <w:color w:val="333333"/>
          <w:spacing w:val="0"/>
          <w:sz w:val="32"/>
          <w:szCs w:val="32"/>
          <w:bdr w:val="none" w:color="auto" w:sz="0" w:space="0"/>
          <w:shd w:val="clear" w:fill="FFFFFF"/>
        </w:rPr>
        <w:t>财政部 人力资源社会保障部</w:t>
      </w:r>
      <w:r>
        <w:rPr>
          <w:rFonts w:hint="eastAsia" w:ascii="宋体" w:hAnsi="宋体" w:eastAsia="宋体" w:cs="宋体"/>
          <w:i w:val="0"/>
          <w:iCs w:val="0"/>
          <w:caps w:val="0"/>
          <w:color w:val="333333"/>
          <w:spacing w:val="0"/>
          <w:sz w:val="32"/>
          <w:szCs w:val="32"/>
          <w:bdr w:val="none" w:color="auto" w:sz="0" w:space="0"/>
          <w:shd w:val="clear" w:fill="FFFFFF"/>
        </w:rPr>
        <w:br w:type="textWrapping"/>
      </w:r>
      <w:r>
        <w:rPr>
          <w:rFonts w:hint="eastAsia" w:ascii="宋体" w:hAnsi="宋体" w:eastAsia="宋体" w:cs="宋体"/>
          <w:i w:val="0"/>
          <w:iCs w:val="0"/>
          <w:caps w:val="0"/>
          <w:color w:val="333333"/>
          <w:spacing w:val="0"/>
          <w:sz w:val="32"/>
          <w:szCs w:val="32"/>
          <w:bdr w:val="none" w:color="auto" w:sz="0" w:space="0"/>
          <w:shd w:val="clear" w:fill="FFFFFF"/>
        </w:rPr>
        <w:t>自然资源部 住房城乡建设部</w:t>
      </w:r>
      <w:r>
        <w:rPr>
          <w:rFonts w:hint="eastAsia" w:ascii="宋体" w:hAnsi="宋体" w:eastAsia="宋体" w:cs="宋体"/>
          <w:i w:val="0"/>
          <w:iCs w:val="0"/>
          <w:caps w:val="0"/>
          <w:color w:val="333333"/>
          <w:spacing w:val="0"/>
          <w:sz w:val="32"/>
          <w:szCs w:val="32"/>
          <w:bdr w:val="none" w:color="auto" w:sz="0" w:space="0"/>
          <w:shd w:val="clear" w:fill="FFFFFF"/>
        </w:rPr>
        <w:br w:type="textWrapping"/>
      </w:r>
      <w:r>
        <w:rPr>
          <w:rFonts w:hint="eastAsia" w:ascii="宋体" w:hAnsi="宋体" w:eastAsia="宋体" w:cs="宋体"/>
          <w:i w:val="0"/>
          <w:iCs w:val="0"/>
          <w:caps w:val="0"/>
          <w:color w:val="333333"/>
          <w:spacing w:val="0"/>
          <w:sz w:val="32"/>
          <w:szCs w:val="32"/>
          <w:bdr w:val="none" w:color="auto" w:sz="0" w:space="0"/>
          <w:shd w:val="clear" w:fill="FFFFFF"/>
        </w:rPr>
        <w:t>应急部 市场监管总局</w:t>
      </w:r>
      <w:r>
        <w:rPr>
          <w:rFonts w:hint="eastAsia" w:ascii="宋体" w:hAnsi="宋体" w:eastAsia="宋体" w:cs="宋体"/>
          <w:i w:val="0"/>
          <w:iCs w:val="0"/>
          <w:caps w:val="0"/>
          <w:color w:val="333333"/>
          <w:spacing w:val="0"/>
          <w:sz w:val="32"/>
          <w:szCs w:val="32"/>
          <w:bdr w:val="none" w:color="auto" w:sz="0" w:space="0"/>
          <w:shd w:val="clear" w:fill="FFFFFF"/>
        </w:rPr>
        <w:br w:type="textWrapping"/>
      </w:r>
      <w:r>
        <w:rPr>
          <w:rFonts w:hint="eastAsia" w:ascii="宋体" w:hAnsi="宋体" w:eastAsia="宋体" w:cs="宋体"/>
          <w:i w:val="0"/>
          <w:iCs w:val="0"/>
          <w:caps w:val="0"/>
          <w:color w:val="333333"/>
          <w:spacing w:val="0"/>
          <w:sz w:val="32"/>
          <w:szCs w:val="32"/>
          <w:bdr w:val="none" w:color="auto" w:sz="0" w:space="0"/>
          <w:shd w:val="clear" w:fill="FFFFFF"/>
        </w:rPr>
        <w:t>国家医保局</w:t>
      </w:r>
      <w:r>
        <w:rPr>
          <w:rFonts w:hint="eastAsia" w:ascii="宋体" w:hAnsi="宋体" w:eastAsia="宋体" w:cs="宋体"/>
          <w:i w:val="0"/>
          <w:iCs w:val="0"/>
          <w:caps w:val="0"/>
          <w:color w:val="333333"/>
          <w:spacing w:val="0"/>
          <w:sz w:val="32"/>
          <w:szCs w:val="32"/>
          <w:bdr w:val="none" w:color="auto" w:sz="0" w:space="0"/>
          <w:shd w:val="clear" w:fill="FFFFFF"/>
        </w:rPr>
        <w:br w:type="textWrapping"/>
      </w:r>
      <w:r>
        <w:rPr>
          <w:rFonts w:hint="eastAsia" w:ascii="宋体" w:hAnsi="宋体" w:eastAsia="宋体" w:cs="宋体"/>
          <w:i w:val="0"/>
          <w:iCs w:val="0"/>
          <w:caps w:val="0"/>
          <w:color w:val="333333"/>
          <w:spacing w:val="0"/>
          <w:sz w:val="32"/>
          <w:szCs w:val="32"/>
          <w:bdr w:val="none" w:color="auto" w:sz="0" w:space="0"/>
          <w:shd w:val="clear" w:fill="FFFFFF"/>
        </w:rPr>
        <w:t>2022年7月18日</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yOTU2ZGQwNzBiY2IxZWQzYThhMzNlZmJhZmQzMTMifQ=="/>
  </w:docVars>
  <w:rsids>
    <w:rsidRoot w:val="00000000"/>
    <w:rsid w:val="25BD6467"/>
    <w:rsid w:val="3D0135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4948</Words>
  <Characters>4975</Characters>
  <Lines>0</Lines>
  <Paragraphs>0</Paragraphs>
  <TotalTime>1</TotalTime>
  <ScaleCrop>false</ScaleCrop>
  <LinksUpToDate>false</LinksUpToDate>
  <CharactersWithSpaces>4983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lenovo009</cp:lastModifiedBy>
  <dcterms:modified xsi:type="dcterms:W3CDTF">2022-10-27T07:17:26Z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518A9A5B034F4F7AB31B1D038DE636BB</vt:lpwstr>
  </property>
</Properties>
</file>